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058" w:rsidRPr="005574F3" w:rsidRDefault="00132DE0" w:rsidP="005574F3">
      <w:pPr>
        <w:jc w:val="center"/>
        <w:rPr>
          <w:b/>
          <w:u w:val="single"/>
        </w:rPr>
      </w:pPr>
      <w:r w:rsidRPr="005574F3">
        <w:rPr>
          <w:b/>
          <w:u w:val="single"/>
        </w:rPr>
        <w:t>IPaLM and Observables Joint Meeting Objectives</w:t>
      </w:r>
      <w:r w:rsidR="005574F3">
        <w:rPr>
          <w:b/>
          <w:u w:val="single"/>
        </w:rPr>
        <w:br/>
      </w:r>
    </w:p>
    <w:p w:rsidR="00C2363B" w:rsidRPr="00C2363B" w:rsidRDefault="00C2363B" w:rsidP="00CF360B">
      <w:pPr>
        <w:pStyle w:val="ListParagraph"/>
        <w:numPr>
          <w:ilvl w:val="0"/>
          <w:numId w:val="2"/>
        </w:numPr>
        <w:ind w:left="360"/>
      </w:pPr>
      <w:r w:rsidRPr="004F312B">
        <w:rPr>
          <w:b/>
        </w:rPr>
        <w:t>Defining existing Observable entity concepts vs. creation of new concept expressions.</w:t>
      </w:r>
      <w:r w:rsidRPr="004F312B">
        <w:rPr>
          <w:b/>
        </w:rPr>
        <w:br/>
      </w:r>
      <w:r w:rsidRPr="004F312B">
        <w:rPr>
          <w:b/>
        </w:rPr>
        <w:br/>
        <w:t>Problem</w:t>
      </w:r>
      <w:r w:rsidR="00CF360B" w:rsidRPr="004F312B">
        <w:rPr>
          <w:b/>
        </w:rPr>
        <w:t xml:space="preserve"> 1</w:t>
      </w:r>
      <w:r w:rsidRPr="004F312B">
        <w:rPr>
          <w:b/>
        </w:rPr>
        <w:t>:</w:t>
      </w:r>
      <w:r>
        <w:t xml:space="preserve">  Current International Core content contains 330+ concepts &lt;&lt;|Tumor observable (observable entity)|.  Concepts are all primitive but were clearly created by CAP to represent concepts in the cancer synoptic worksheets.  </w:t>
      </w:r>
      <w:r w:rsidR="006B06D2">
        <w:t>Adding appropriate definition (A-V pairs) per Observables model to fully define concepts in this hierarchy</w:t>
      </w:r>
      <w:r w:rsidR="00CF360B">
        <w:t xml:space="preserve"> will facilitate classification tests.  Per Jim </w:t>
      </w:r>
      <w:r w:rsidR="005574F3">
        <w:t xml:space="preserve">Case, the relationship </w:t>
      </w:r>
      <w:proofErr w:type="spellStart"/>
      <w:r w:rsidR="005574F3">
        <w:t>conceptID</w:t>
      </w:r>
      <w:r w:rsidR="00CF360B">
        <w:t>’s</w:t>
      </w:r>
      <w:proofErr w:type="spellEnd"/>
      <w:r w:rsidR="00CF360B">
        <w:t xml:space="preserve"> represented by NE Lexicon SCTID’s will be fine and easily addressed should definitions be promoted to the International Core.</w:t>
      </w:r>
      <w:r>
        <w:br/>
      </w:r>
      <w:r w:rsidRPr="004F312B">
        <w:rPr>
          <w:b/>
        </w:rPr>
        <w:br/>
        <w:t>Goal:</w:t>
      </w:r>
      <w:r>
        <w:t xml:space="preserve">  Decide upon </w:t>
      </w:r>
      <w:r w:rsidR="00E72836">
        <w:t>procedural guidelines for fully</w:t>
      </w:r>
      <w:r>
        <w:t xml:space="preserve"> defining existing</w:t>
      </w:r>
      <w:r w:rsidR="00CF360B">
        <w:t xml:space="preserve"> </w:t>
      </w:r>
      <w:r w:rsidR="00A83648">
        <w:t>S</w:t>
      </w:r>
      <w:r w:rsidR="00E72836">
        <w:t xml:space="preserve">NOMED CT Observable entities in the domains </w:t>
      </w:r>
      <w:r w:rsidR="00CF360B">
        <w:t>that pertain to cancer synoptic data elements.</w:t>
      </w:r>
      <w:r w:rsidR="00CF360B">
        <w:br/>
      </w:r>
      <w:r w:rsidR="00CF360B">
        <w:br/>
      </w:r>
      <w:r w:rsidR="00CF360B" w:rsidRPr="004F312B">
        <w:rPr>
          <w:b/>
        </w:rPr>
        <w:t>Problem 2:</w:t>
      </w:r>
      <w:r w:rsidR="00CF360B">
        <w:t xml:space="preserve"> </w:t>
      </w:r>
      <w:r w:rsidR="00E72836">
        <w:t xml:space="preserve">New observables concepts are required for </w:t>
      </w:r>
      <w:r w:rsidR="00CF360B">
        <w:t>many data elements represented in cancer synoptic worksheets.</w:t>
      </w:r>
      <w:r w:rsidR="00E72836">
        <w:t xml:space="preserve">  These are not defined in SNOMED CT International and are not defined in LOINC.  Existing SNOMED CT observables concepts applicable to the AP/MP domain should be fully defined using the agreed concept model for proper description logic classification. </w:t>
      </w:r>
      <w:r w:rsidR="00CF360B">
        <w:t xml:space="preserve"> </w:t>
      </w:r>
      <w:r w:rsidR="00CF360B">
        <w:br/>
        <w:t xml:space="preserve">New concepts </w:t>
      </w:r>
      <w:r w:rsidR="00E72836">
        <w:t xml:space="preserve">(and existing SNOMED CT observables in the lab domain?) </w:t>
      </w:r>
      <w:r w:rsidR="00CF360B">
        <w:t xml:space="preserve">are to be </w:t>
      </w:r>
      <w:r w:rsidR="00E72836">
        <w:t xml:space="preserve">published </w:t>
      </w:r>
      <w:r w:rsidR="00CF360B">
        <w:t xml:space="preserve">using SNOMED CT expressions with LOINC identifiers </w:t>
      </w:r>
      <w:r w:rsidR="00E72836">
        <w:t xml:space="preserve">for all laboratory (and pathology) observables </w:t>
      </w:r>
      <w:r w:rsidR="00CF360B">
        <w:t>per collaborative agreement.</w:t>
      </w:r>
      <w:r w:rsidR="00CF360B">
        <w:br/>
      </w:r>
      <w:r w:rsidR="00CF360B">
        <w:br/>
      </w:r>
      <w:r w:rsidR="00CF360B" w:rsidRPr="004F312B">
        <w:rPr>
          <w:b/>
        </w:rPr>
        <w:t>Goal:</w:t>
      </w:r>
      <w:r w:rsidR="00E72836">
        <w:t xml:space="preserve">  Agree on guidelines and work products with deliverables that will be supplied by UNMC, RI and the IHTSDO.</w:t>
      </w:r>
      <w:r w:rsidR="00A37E41">
        <w:br/>
      </w:r>
      <w:r w:rsidR="00A37E41">
        <w:br/>
      </w:r>
      <w:r w:rsidRPr="004F312B">
        <w:rPr>
          <w:b/>
        </w:rPr>
        <w:br/>
      </w:r>
    </w:p>
    <w:p w:rsidR="00D91C43" w:rsidRDefault="005B203D" w:rsidP="005B203D">
      <w:pPr>
        <w:pStyle w:val="ListParagraph"/>
        <w:numPr>
          <w:ilvl w:val="0"/>
          <w:numId w:val="2"/>
        </w:numPr>
      </w:pPr>
      <w:r>
        <w:rPr>
          <w:b/>
        </w:rPr>
        <w:t>Use of |Towards (attribute)|.</w:t>
      </w:r>
      <w:r>
        <w:rPr>
          <w:b/>
        </w:rPr>
        <w:br/>
      </w:r>
      <w:r>
        <w:rPr>
          <w:b/>
        </w:rPr>
        <w:br/>
        <w:t>Problem:</w:t>
      </w:r>
      <w:r>
        <w:t xml:space="preserve">  The |Towards (attribute)| has been broken into different related concepts to reduce confusion over the attribute.  </w:t>
      </w:r>
      <w:r>
        <w:br/>
      </w:r>
      <w:r>
        <w:br/>
      </w:r>
      <w:r>
        <w:rPr>
          <w:b/>
        </w:rPr>
        <w:t>Goal:</w:t>
      </w:r>
      <w:r>
        <w:t xml:space="preserve">  Definitively identify the appropriate, approved attribute concept to represent the third element of a relational quality as used in the pathology observables use cases.</w:t>
      </w:r>
      <w:r>
        <w:br/>
      </w:r>
      <w:r>
        <w:br/>
      </w:r>
      <w:r>
        <w:rPr>
          <w:b/>
        </w:rPr>
        <w:t xml:space="preserve">Example: </w:t>
      </w:r>
      <w:r>
        <w:t xml:space="preserve">  |Size of largest metastatic deposit in lymph nodes within surgical specimen|</w:t>
      </w:r>
      <w:r>
        <w:br/>
      </w:r>
      <w:r>
        <w:br/>
        <w:t>|Inheres in| = 59441001|Lymph node structure (body structure)|</w:t>
      </w:r>
      <w:r>
        <w:br/>
        <w:t>|Inherent location| = 445405002|Specimen obtained by surgical procedure (specimen)|</w:t>
      </w:r>
      <w:r>
        <w:br/>
        <w:t>|Towards| = 14799000|Neoplasm, metastatic (morphologic abnormality)|</w:t>
      </w:r>
      <w:r w:rsidR="00D91C43">
        <w:br/>
      </w:r>
    </w:p>
    <w:p w:rsidR="00130F8B" w:rsidRDefault="00D91C43" w:rsidP="005B203D">
      <w:pPr>
        <w:pStyle w:val="ListParagraph"/>
        <w:numPr>
          <w:ilvl w:val="0"/>
          <w:numId w:val="2"/>
        </w:numPr>
      </w:pPr>
      <w:r>
        <w:rPr>
          <w:b/>
        </w:rPr>
        <w:lastRenderedPageBreak/>
        <w:t>Protein as a proxy for a genetic mutation.</w:t>
      </w:r>
      <w:r>
        <w:br/>
      </w:r>
      <w:r>
        <w:br/>
      </w:r>
      <w:r>
        <w:rPr>
          <w:b/>
        </w:rPr>
        <w:t>Problem:</w:t>
      </w:r>
      <w:r>
        <w:t xml:space="preserve">  Protein detection by immunoperoxidase staining techniques is used to determine the presence of genetic mutations.  </w:t>
      </w:r>
      <w:r w:rsidR="004F312B">
        <w:t xml:space="preserve">Modeling template for these concepts </w:t>
      </w:r>
      <w:r>
        <w:t xml:space="preserve">in the observables model requires </w:t>
      </w:r>
      <w:r w:rsidR="004F312B">
        <w:t>agreement and documentation</w:t>
      </w:r>
      <w:r>
        <w:t>.</w:t>
      </w:r>
      <w:r>
        <w:br/>
      </w:r>
      <w:r>
        <w:br/>
      </w:r>
      <w:r>
        <w:rPr>
          <w:b/>
        </w:rPr>
        <w:t>Goal:</w:t>
      </w:r>
      <w:r>
        <w:t xml:space="preserve">  Determine, definitively, the appropriate, approved observables model approach to represent proteins as proxies for genetic mutations.</w:t>
      </w:r>
      <w:r>
        <w:br/>
      </w:r>
      <w:r>
        <w:br/>
      </w:r>
      <w:r>
        <w:rPr>
          <w:b/>
        </w:rPr>
        <w:t>Example</w:t>
      </w:r>
      <w:r w:rsidR="004F312B">
        <w:rPr>
          <w:b/>
        </w:rPr>
        <w:t>(somatic mutation)</w:t>
      </w:r>
      <w:r>
        <w:rPr>
          <w:b/>
        </w:rPr>
        <w:t xml:space="preserve">: </w:t>
      </w:r>
      <w:r>
        <w:t>|Status of progesterone receptors of neoplasm| =</w:t>
      </w:r>
      <w:r>
        <w:br/>
      </w:r>
      <w:r>
        <w:br/>
        <w:t>|Inherent location| = PGR gene locus|</w:t>
      </w:r>
      <w:r>
        <w:br/>
        <w:t>|Inheres in| = |Neoplasm|</w:t>
      </w:r>
      <w:r>
        <w:br/>
        <w:t xml:space="preserve">|Direct substance| = |Progesterone receptor| </w:t>
      </w:r>
      <w:r w:rsidR="00130F8B">
        <w:br/>
      </w:r>
      <w:r w:rsidR="00130F8B">
        <w:br/>
      </w:r>
    </w:p>
    <w:p w:rsidR="004B1D85" w:rsidRDefault="00130F8B" w:rsidP="005B203D">
      <w:pPr>
        <w:pStyle w:val="ListParagraph"/>
        <w:numPr>
          <w:ilvl w:val="0"/>
          <w:numId w:val="2"/>
        </w:numPr>
      </w:pPr>
      <w:r w:rsidRPr="00130F8B">
        <w:rPr>
          <w:b/>
        </w:rPr>
        <w:t>Representation of germline and somatic mutations.</w:t>
      </w:r>
      <w:r>
        <w:br/>
      </w:r>
      <w:r>
        <w:br/>
      </w:r>
      <w:r>
        <w:rPr>
          <w:b/>
        </w:rPr>
        <w:t>Problem:</w:t>
      </w:r>
      <w:r>
        <w:t xml:space="preserve">  Germline mutations exist in the entire patient and not just the neoplasm.  Somatic mutations exist in the neoplasm.  Modelling guidelines for</w:t>
      </w:r>
      <w:r w:rsidR="004B1D85">
        <w:t xml:space="preserve"> defining causality and co-occurrence in both </w:t>
      </w:r>
      <w:r>
        <w:t>germline</w:t>
      </w:r>
      <w:r w:rsidR="004B1D85">
        <w:t xml:space="preserve"> and</w:t>
      </w:r>
      <w:r>
        <w:t xml:space="preserve"> somatic mutations are needed.</w:t>
      </w:r>
      <w:r>
        <w:br/>
      </w:r>
      <w:r>
        <w:br/>
      </w:r>
      <w:r>
        <w:rPr>
          <w:b/>
        </w:rPr>
        <w:t>Goal:</w:t>
      </w:r>
      <w:r>
        <w:t xml:space="preserve">  </w:t>
      </w:r>
      <w:r w:rsidR="002A767A">
        <w:t>Determine modelling guidelines to represent germline vs. somatic mutations in observable entities.</w:t>
      </w:r>
      <w:r w:rsidR="004B1D85">
        <w:t xml:space="preserve"> </w:t>
      </w:r>
    </w:p>
    <w:p w:rsidR="005B203D" w:rsidRPr="005B203D" w:rsidRDefault="004B1D85" w:rsidP="004B1D85">
      <w:pPr>
        <w:pStyle w:val="ListParagraph"/>
      </w:pPr>
      <w:r>
        <w:t>(Discuss in concert with Encounter/Episode project team Wednesday morning)</w:t>
      </w:r>
      <w:r w:rsidR="005B203D">
        <w:br/>
      </w:r>
    </w:p>
    <w:p w:rsidR="00132DE0" w:rsidRDefault="00132DE0" w:rsidP="00132DE0">
      <w:pPr>
        <w:pStyle w:val="ListParagraph"/>
        <w:numPr>
          <w:ilvl w:val="0"/>
          <w:numId w:val="2"/>
        </w:numPr>
      </w:pPr>
      <w:r w:rsidRPr="00132DE0">
        <w:rPr>
          <w:b/>
        </w:rPr>
        <w:t>Modelling Rubrics.</w:t>
      </w:r>
      <w:r>
        <w:t xml:space="preserve">  </w:t>
      </w:r>
      <w:r w:rsidR="00C2363B">
        <w:br/>
      </w:r>
      <w:r>
        <w:br/>
      </w:r>
      <w:r w:rsidRPr="00132DE0">
        <w:rPr>
          <w:b/>
        </w:rPr>
        <w:t>Problem:</w:t>
      </w:r>
      <w:r>
        <w:t xml:space="preserve">  Review of authored pathology content (NE Lexicon) demonstrates some inconsistency in repeating, defining A-V pairs.</w:t>
      </w:r>
      <w:r>
        <w:br/>
      </w:r>
      <w:r>
        <w:br/>
      </w:r>
      <w:r w:rsidRPr="00132DE0">
        <w:rPr>
          <w:b/>
        </w:rPr>
        <w:t>Goal:</w:t>
      </w:r>
      <w:r>
        <w:t xml:space="preserve"> Decide upon modelling rubrics and guidelines for common, repetitive defining A-V.  </w:t>
      </w:r>
      <w:r>
        <w:br/>
      </w:r>
      <w:r>
        <w:br/>
      </w:r>
      <w:r w:rsidRPr="00C2363B">
        <w:rPr>
          <w:b/>
        </w:rPr>
        <w:t>Examples:</w:t>
      </w:r>
      <w:r>
        <w:br/>
      </w:r>
    </w:p>
    <w:p w:rsidR="005B203D" w:rsidRDefault="00DA4632" w:rsidP="00DA4632">
      <w:pPr>
        <w:pStyle w:val="ListParagraph"/>
        <w:numPr>
          <w:ilvl w:val="1"/>
          <w:numId w:val="2"/>
        </w:numPr>
      </w:pPr>
      <w:r>
        <w:t xml:space="preserve">Range for values paired with </w:t>
      </w:r>
      <w:r w:rsidR="00132DE0">
        <w:t>|Inheres in (attribute)| and |Inherent location (attribute)|</w:t>
      </w:r>
      <w:r>
        <w:t>.  Use of concepts in |Body structure| or |Specimen| hierarchies should be</w:t>
      </w:r>
      <w:r w:rsidR="005B203D">
        <w:t xml:space="preserve"> specified.</w:t>
      </w:r>
      <w:r w:rsidR="005B203D">
        <w:br/>
      </w:r>
    </w:p>
    <w:p w:rsidR="005B203D" w:rsidRDefault="00DA4632" w:rsidP="005B203D">
      <w:pPr>
        <w:pStyle w:val="ListParagraph"/>
        <w:numPr>
          <w:ilvl w:val="2"/>
          <w:numId w:val="2"/>
        </w:numPr>
      </w:pPr>
      <w:r>
        <w:t>|Number of lymph nodes in surgical specimen with micrometastases|=</w:t>
      </w:r>
      <w:r>
        <w:br/>
        <w:t xml:space="preserve">    |Inheres in| = 396359006|Lymph node from regional lymph node dissection   </w:t>
      </w:r>
      <w:r>
        <w:br/>
        <w:t xml:space="preserve">                 (specimen)|</w:t>
      </w:r>
      <w:r w:rsidR="00C2363B">
        <w:br/>
        <w:t xml:space="preserve">    |Inherent location| = 445405002|Specimen obtained by surgical procedure|</w:t>
      </w:r>
      <w:r w:rsidR="00C2363B">
        <w:br/>
      </w:r>
      <w:r w:rsidR="00C2363B">
        <w:lastRenderedPageBreak/>
        <w:br/>
      </w:r>
      <w:proofErr w:type="gramStart"/>
      <w:r w:rsidR="00C2363B">
        <w:t>Is</w:t>
      </w:r>
      <w:proofErr w:type="gramEnd"/>
      <w:r w:rsidR="00C2363B">
        <w:t xml:space="preserve"> |Inherent location| an unnecessary defining attribute in this example?</w:t>
      </w:r>
      <w:r w:rsidR="005B203D">
        <w:br/>
      </w:r>
    </w:p>
    <w:p w:rsidR="00A37E41" w:rsidRDefault="005B203D" w:rsidP="005B203D">
      <w:pPr>
        <w:pStyle w:val="ListParagraph"/>
        <w:numPr>
          <w:ilvl w:val="2"/>
          <w:numId w:val="2"/>
        </w:numPr>
      </w:pPr>
      <w:r>
        <w:t>|Size of largest metastatic deposit in lymph nodes within surgical specimen|=</w:t>
      </w:r>
      <w:r>
        <w:br/>
      </w:r>
      <w:r>
        <w:br/>
        <w:t>|Inheres in| = 59441001|Lymph node structure (body structure)|</w:t>
      </w:r>
      <w:r>
        <w:br/>
        <w:t>|Inherent location| = 445405002|Specimen obtained by surgical procedure (specimen)|</w:t>
      </w:r>
      <w:r>
        <w:br/>
      </w:r>
      <w:r>
        <w:br/>
      </w:r>
      <w:r w:rsidR="00A37E41">
        <w:br/>
      </w:r>
    </w:p>
    <w:p w:rsidR="00A37E41" w:rsidRDefault="00A37E41" w:rsidP="00DA4632">
      <w:pPr>
        <w:pStyle w:val="ListParagraph"/>
        <w:numPr>
          <w:ilvl w:val="1"/>
          <w:numId w:val="2"/>
        </w:numPr>
      </w:pPr>
      <w:r>
        <w:t>Assertion of time aspect in observable entity definition.</w:t>
      </w:r>
      <w:r>
        <w:br/>
      </w:r>
      <w:r>
        <w:br/>
        <w:t>|Number of lymph nodes in surgical specimen with micrometastases|=</w:t>
      </w:r>
      <w:r>
        <w:br/>
        <w:t xml:space="preserve">    370134009|Time aspect (attribute)| = 123029007|Single point in time (qualifier)|</w:t>
      </w:r>
      <w:r>
        <w:br/>
        <w:t xml:space="preserve">                 </w:t>
      </w:r>
    </w:p>
    <w:p w:rsidR="00132DE0" w:rsidRDefault="00DA4632" w:rsidP="00DA4632">
      <w:pPr>
        <w:pStyle w:val="ListParagraph"/>
        <w:numPr>
          <w:ilvl w:val="1"/>
          <w:numId w:val="2"/>
        </w:numPr>
      </w:pPr>
      <w:r>
        <w:t xml:space="preserve"> </w:t>
      </w:r>
      <w:r w:rsidR="00A37E41">
        <w:t>Assertion of scale in observable entity definition.</w:t>
      </w:r>
      <w:r w:rsidR="00A37E41">
        <w:br/>
      </w:r>
      <w:r w:rsidR="00A37E41">
        <w:br/>
        <w:t>|Site of excised breast neoplasm|=</w:t>
      </w:r>
      <w:r w:rsidR="00A37E41">
        <w:br/>
        <w:t xml:space="preserve">    278444000|Scales type (attribute)| = 117362005|Nominal value (qualifier)|</w:t>
      </w:r>
      <w:r w:rsidR="00C602CB">
        <w:br/>
      </w:r>
    </w:p>
    <w:p w:rsidR="00C602CB" w:rsidRDefault="00C602CB" w:rsidP="00C602CB">
      <w:pPr>
        <w:pStyle w:val="ListParagraph"/>
        <w:numPr>
          <w:ilvl w:val="0"/>
          <w:numId w:val="2"/>
        </w:numPr>
      </w:pPr>
      <w:r w:rsidRPr="00C602CB">
        <w:rPr>
          <w:b/>
        </w:rPr>
        <w:t>Concept identifiers.</w:t>
      </w:r>
      <w:r>
        <w:br/>
      </w:r>
      <w:r>
        <w:br/>
      </w:r>
      <w:r w:rsidRPr="00C602CB">
        <w:rPr>
          <w:b/>
        </w:rPr>
        <w:t>Problem:</w:t>
      </w:r>
      <w:r>
        <w:t xml:space="preserve">  With the use of existing observable entity SCTID’s which have been fully defined as part of the pathology project and with new concept expressions using </w:t>
      </w:r>
      <w:proofErr w:type="spellStart"/>
      <w:r>
        <w:t>uuid</w:t>
      </w:r>
      <w:proofErr w:type="spellEnd"/>
      <w:r>
        <w:t xml:space="preserve"> and LOINC identifiers, a situation will be created in which a mix of terminology identifiers will be used within the same domain simultaneously.  This will be confusin</w:t>
      </w:r>
      <w:r w:rsidR="00A83648">
        <w:t xml:space="preserve">g at </w:t>
      </w:r>
      <w:proofErr w:type="gramStart"/>
      <w:r w:rsidR="00A83648">
        <w:t>best,</w:t>
      </w:r>
      <w:proofErr w:type="gramEnd"/>
      <w:r w:rsidR="00A83648">
        <w:t xml:space="preserve"> and likely untenable and</w:t>
      </w:r>
      <w:r>
        <w:t xml:space="preserve"> unusable at worst.</w:t>
      </w:r>
      <w:r>
        <w:br/>
      </w:r>
      <w:r>
        <w:br/>
      </w:r>
      <w:r>
        <w:rPr>
          <w:b/>
        </w:rPr>
        <w:t>Goal:</w:t>
      </w:r>
      <w:r>
        <w:t xml:space="preserve">  Develop a recommendation to the management board to address this issue.  Both SNOMED CT and LOINC aim to serve the pathology community, and each standard has been utilized for this domain across and within individual member nations.  </w:t>
      </w:r>
      <w:r>
        <w:br/>
      </w:r>
      <w:r>
        <w:br/>
        <w:t xml:space="preserve">Anatomic and molecular pathology represent domains that can be correctly categorized as a member of a laboratory </w:t>
      </w:r>
      <w:r w:rsidR="00FB684F">
        <w:t xml:space="preserve">domain </w:t>
      </w:r>
      <w:r>
        <w:t>and correctly categorized as separate from the laboratory domain</w:t>
      </w:r>
      <w:r w:rsidR="00FB684F">
        <w:t xml:space="preserve"> with equal validity</w:t>
      </w:r>
      <w:r>
        <w:t xml:space="preserve">.  </w:t>
      </w:r>
      <w:r w:rsidR="00592CB7">
        <w:t>As demonstrated by the number of concepts pertaining to cancer synoptic worksheets in each terminology and the disparity of concept usage in cancer reporting, each standard has expended resources to meet end user needs.   This is in contrast to the representation of core laboratory concepts (i.e., chemistries, microbiology, etc)</w:t>
      </w:r>
      <w:r w:rsidR="003F69A9">
        <w:t xml:space="preserve"> where the LOINC content exceeds that of SNOMED CT</w:t>
      </w:r>
      <w:bookmarkStart w:id="0" w:name="_GoBack"/>
      <w:bookmarkEnd w:id="0"/>
      <w:r w:rsidR="00592CB7">
        <w:t xml:space="preserve">.  The cooperative agreement did not anticipate this situation.  To address this </w:t>
      </w:r>
      <w:r w:rsidR="00FB684F">
        <w:t>problem</w:t>
      </w:r>
      <w:r w:rsidR="00592CB7">
        <w:t xml:space="preserve"> and develop a sustainable, implementable domain terminology for pathology (AP and MP), the publication of LOINC and SCTIDs in the domains of </w:t>
      </w:r>
      <w:r w:rsidR="00592CB7">
        <w:lastRenderedPageBreak/>
        <w:t>anatomic and molecular pathology may be indicated.</w:t>
      </w:r>
      <w:r w:rsidR="00592CB7">
        <w:br/>
      </w:r>
      <w:r w:rsidR="00592CB7">
        <w:br/>
      </w:r>
      <w:r w:rsidR="00FB684F">
        <w:t>Each terminology</w:t>
      </w:r>
      <w:r w:rsidR="00592CB7">
        <w:t xml:space="preserve"> publish</w:t>
      </w:r>
      <w:r w:rsidR="00FB684F">
        <w:t>es</w:t>
      </w:r>
      <w:r w:rsidR="00592CB7">
        <w:t xml:space="preserve"> content for the AP</w:t>
      </w:r>
      <w:r w:rsidR="00FB684F">
        <w:t xml:space="preserve"> and MP domains.  T</w:t>
      </w:r>
      <w:r w:rsidR="00592CB7">
        <w:t>he content of each terminology do</w:t>
      </w:r>
      <w:r w:rsidR="00FB684F">
        <w:t>s</w:t>
      </w:r>
      <w:r w:rsidR="00592CB7">
        <w:t xml:space="preserve"> not significantly overlap</w:t>
      </w:r>
      <w:r w:rsidR="00FB684F">
        <w:t xml:space="preserve"> with concepts represented in the other.   Me</w:t>
      </w:r>
      <w:r w:rsidR="00592CB7">
        <w:t xml:space="preserve">mber nations </w:t>
      </w:r>
      <w:r w:rsidR="00FB684F">
        <w:t xml:space="preserve">and vended applications </w:t>
      </w:r>
      <w:r w:rsidR="00592CB7">
        <w:t>may use one or the</w:t>
      </w:r>
      <w:r w:rsidR="00FB684F">
        <w:t xml:space="preserve"> other standard for this domain but not both.  The</w:t>
      </w:r>
      <w:r w:rsidR="00592CB7">
        <w:t xml:space="preserve"> publication of LOINC and SCTID’</w:t>
      </w:r>
      <w:r w:rsidR="00FB684F">
        <w:t>s representing each individual concept in the AP and MP domain, regardless of the originating terminology, can serve the broader user community by accommodating individual national policies, as well as, AP and MP vended systems design.</w:t>
      </w:r>
      <w:r w:rsidR="00FB684F">
        <w:br/>
      </w:r>
      <w:r w:rsidR="00FB684F">
        <w:br/>
        <w:t xml:space="preserve">Precedent for dual concept identifiers exists with the publication </w:t>
      </w:r>
      <w:r w:rsidR="009C5C9F">
        <w:t>of SNOMED RT and Read Codes.  A similar approach for LOINC and SNOMED CT identifiers in the AP and MP domains is recommended.</w:t>
      </w:r>
    </w:p>
    <w:sectPr w:rsidR="00C602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C6A99"/>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40A65C49"/>
    <w:multiLevelType w:val="hybridMultilevel"/>
    <w:tmpl w:val="6F104C7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DE0"/>
    <w:rsid w:val="0001668E"/>
    <w:rsid w:val="00022429"/>
    <w:rsid w:val="00025869"/>
    <w:rsid w:val="0002610A"/>
    <w:rsid w:val="00033448"/>
    <w:rsid w:val="00051E4F"/>
    <w:rsid w:val="000535B0"/>
    <w:rsid w:val="00056293"/>
    <w:rsid w:val="000562EA"/>
    <w:rsid w:val="00074C22"/>
    <w:rsid w:val="000A5354"/>
    <w:rsid w:val="000A7E59"/>
    <w:rsid w:val="0012214D"/>
    <w:rsid w:val="00126D98"/>
    <w:rsid w:val="00130F8B"/>
    <w:rsid w:val="00132DE0"/>
    <w:rsid w:val="00146E72"/>
    <w:rsid w:val="00184508"/>
    <w:rsid w:val="001856B3"/>
    <w:rsid w:val="001E0001"/>
    <w:rsid w:val="001E25AB"/>
    <w:rsid w:val="001F6E4F"/>
    <w:rsid w:val="00213670"/>
    <w:rsid w:val="00266CDB"/>
    <w:rsid w:val="00275CEE"/>
    <w:rsid w:val="00276622"/>
    <w:rsid w:val="002A767A"/>
    <w:rsid w:val="002B0603"/>
    <w:rsid w:val="002C3BC2"/>
    <w:rsid w:val="002E21AB"/>
    <w:rsid w:val="00302A75"/>
    <w:rsid w:val="00371DB0"/>
    <w:rsid w:val="003832CF"/>
    <w:rsid w:val="003B56B2"/>
    <w:rsid w:val="003C6298"/>
    <w:rsid w:val="003D2F18"/>
    <w:rsid w:val="003E692C"/>
    <w:rsid w:val="003F69A9"/>
    <w:rsid w:val="0041338C"/>
    <w:rsid w:val="00423B9A"/>
    <w:rsid w:val="004274B4"/>
    <w:rsid w:val="0043607F"/>
    <w:rsid w:val="0046103A"/>
    <w:rsid w:val="00473804"/>
    <w:rsid w:val="00481615"/>
    <w:rsid w:val="00487253"/>
    <w:rsid w:val="004959E6"/>
    <w:rsid w:val="004969A9"/>
    <w:rsid w:val="004B1D85"/>
    <w:rsid w:val="004C539A"/>
    <w:rsid w:val="004C7446"/>
    <w:rsid w:val="004F312B"/>
    <w:rsid w:val="00511D1D"/>
    <w:rsid w:val="0052162D"/>
    <w:rsid w:val="00536AB2"/>
    <w:rsid w:val="005574F3"/>
    <w:rsid w:val="00573A40"/>
    <w:rsid w:val="005814BD"/>
    <w:rsid w:val="00592CB7"/>
    <w:rsid w:val="005A47CE"/>
    <w:rsid w:val="005A64F6"/>
    <w:rsid w:val="005B203D"/>
    <w:rsid w:val="00600538"/>
    <w:rsid w:val="00606B85"/>
    <w:rsid w:val="006105B1"/>
    <w:rsid w:val="006662F5"/>
    <w:rsid w:val="006912E3"/>
    <w:rsid w:val="00694DAD"/>
    <w:rsid w:val="0069524A"/>
    <w:rsid w:val="00695294"/>
    <w:rsid w:val="006A2DA5"/>
    <w:rsid w:val="006A397C"/>
    <w:rsid w:val="006A4D57"/>
    <w:rsid w:val="006B06D2"/>
    <w:rsid w:val="006D066B"/>
    <w:rsid w:val="006D4B33"/>
    <w:rsid w:val="006E0AAD"/>
    <w:rsid w:val="006E6C29"/>
    <w:rsid w:val="007126DF"/>
    <w:rsid w:val="007363AB"/>
    <w:rsid w:val="00762AB5"/>
    <w:rsid w:val="0076578F"/>
    <w:rsid w:val="007716C7"/>
    <w:rsid w:val="00771BD8"/>
    <w:rsid w:val="00773240"/>
    <w:rsid w:val="007B1D22"/>
    <w:rsid w:val="007D3897"/>
    <w:rsid w:val="007E352F"/>
    <w:rsid w:val="00805058"/>
    <w:rsid w:val="008108CD"/>
    <w:rsid w:val="0081114B"/>
    <w:rsid w:val="00831B33"/>
    <w:rsid w:val="0086210A"/>
    <w:rsid w:val="00874BFE"/>
    <w:rsid w:val="00891AB9"/>
    <w:rsid w:val="008A7D38"/>
    <w:rsid w:val="00911778"/>
    <w:rsid w:val="00934236"/>
    <w:rsid w:val="00934D80"/>
    <w:rsid w:val="009433A5"/>
    <w:rsid w:val="0096559E"/>
    <w:rsid w:val="009831A1"/>
    <w:rsid w:val="00996A6F"/>
    <w:rsid w:val="009A1A99"/>
    <w:rsid w:val="009C5C9F"/>
    <w:rsid w:val="009D6A9A"/>
    <w:rsid w:val="009E1C79"/>
    <w:rsid w:val="009E6A96"/>
    <w:rsid w:val="009F4680"/>
    <w:rsid w:val="00A02747"/>
    <w:rsid w:val="00A13C26"/>
    <w:rsid w:val="00A3014F"/>
    <w:rsid w:val="00A37E41"/>
    <w:rsid w:val="00A4245D"/>
    <w:rsid w:val="00A67C91"/>
    <w:rsid w:val="00A83648"/>
    <w:rsid w:val="00AA708D"/>
    <w:rsid w:val="00AB6BDB"/>
    <w:rsid w:val="00AC14AD"/>
    <w:rsid w:val="00AD58E4"/>
    <w:rsid w:val="00AF732D"/>
    <w:rsid w:val="00B27938"/>
    <w:rsid w:val="00B62015"/>
    <w:rsid w:val="00B650C3"/>
    <w:rsid w:val="00B92563"/>
    <w:rsid w:val="00B94B8F"/>
    <w:rsid w:val="00BA7169"/>
    <w:rsid w:val="00BA76DE"/>
    <w:rsid w:val="00BB05AE"/>
    <w:rsid w:val="00BD2CB0"/>
    <w:rsid w:val="00BE64F2"/>
    <w:rsid w:val="00C0062C"/>
    <w:rsid w:val="00C20954"/>
    <w:rsid w:val="00C2196E"/>
    <w:rsid w:val="00C2363B"/>
    <w:rsid w:val="00C318F2"/>
    <w:rsid w:val="00C602CB"/>
    <w:rsid w:val="00C8524D"/>
    <w:rsid w:val="00C93D70"/>
    <w:rsid w:val="00CA1EB3"/>
    <w:rsid w:val="00CB7F2D"/>
    <w:rsid w:val="00CC683C"/>
    <w:rsid w:val="00CD038E"/>
    <w:rsid w:val="00CD2132"/>
    <w:rsid w:val="00CE68EF"/>
    <w:rsid w:val="00CF09DA"/>
    <w:rsid w:val="00CF360B"/>
    <w:rsid w:val="00D0351F"/>
    <w:rsid w:val="00D17405"/>
    <w:rsid w:val="00D20314"/>
    <w:rsid w:val="00D22C78"/>
    <w:rsid w:val="00D37069"/>
    <w:rsid w:val="00D91C43"/>
    <w:rsid w:val="00DA4632"/>
    <w:rsid w:val="00DB3BAA"/>
    <w:rsid w:val="00DC1D81"/>
    <w:rsid w:val="00DC3225"/>
    <w:rsid w:val="00DC7EB4"/>
    <w:rsid w:val="00DD1693"/>
    <w:rsid w:val="00DD318F"/>
    <w:rsid w:val="00DE01A0"/>
    <w:rsid w:val="00DE0788"/>
    <w:rsid w:val="00E161AE"/>
    <w:rsid w:val="00E4311B"/>
    <w:rsid w:val="00E4449B"/>
    <w:rsid w:val="00E72836"/>
    <w:rsid w:val="00E95BA9"/>
    <w:rsid w:val="00EB08E9"/>
    <w:rsid w:val="00EB27BE"/>
    <w:rsid w:val="00EB2C96"/>
    <w:rsid w:val="00EE7DBF"/>
    <w:rsid w:val="00EF5C00"/>
    <w:rsid w:val="00EF7CE5"/>
    <w:rsid w:val="00EF7F0D"/>
    <w:rsid w:val="00F04CDA"/>
    <w:rsid w:val="00F1478C"/>
    <w:rsid w:val="00F3655D"/>
    <w:rsid w:val="00F56918"/>
    <w:rsid w:val="00F56CC8"/>
    <w:rsid w:val="00F6252D"/>
    <w:rsid w:val="00F63A8A"/>
    <w:rsid w:val="00F7060C"/>
    <w:rsid w:val="00F7587B"/>
    <w:rsid w:val="00F7737B"/>
    <w:rsid w:val="00FA5244"/>
    <w:rsid w:val="00FB684F"/>
    <w:rsid w:val="00FD4AEC"/>
    <w:rsid w:val="00FD4DDA"/>
    <w:rsid w:val="00FE2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32DE0"/>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32DE0"/>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2DE0"/>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32DE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32DE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32DE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32DE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32DE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32DE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DE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32DE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2DE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32DE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32DE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32DE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32DE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32DE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32DE0"/>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132DE0"/>
    <w:pPr>
      <w:spacing w:after="0" w:line="240" w:lineRule="auto"/>
    </w:pPr>
  </w:style>
  <w:style w:type="paragraph" w:styleId="ListParagraph">
    <w:name w:val="List Paragraph"/>
    <w:basedOn w:val="Normal"/>
    <w:uiPriority w:val="34"/>
    <w:qFormat/>
    <w:rsid w:val="00132D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32DE0"/>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32DE0"/>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2DE0"/>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32DE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32DE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32DE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32DE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32DE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32DE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DE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32DE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2DE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32DE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32DE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32DE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32DE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32DE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32DE0"/>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132DE0"/>
    <w:pPr>
      <w:spacing w:after="0" w:line="240" w:lineRule="auto"/>
    </w:pPr>
  </w:style>
  <w:style w:type="paragraph" w:styleId="ListParagraph">
    <w:name w:val="List Paragraph"/>
    <w:basedOn w:val="Normal"/>
    <w:uiPriority w:val="34"/>
    <w:qFormat/>
    <w:rsid w:val="00132D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517B3-0F22-4B71-B629-656546D19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NE Medical Center</Company>
  <LinksUpToDate>false</LinksUpToDate>
  <CharactersWithSpaces>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2016-10-12T15:06:00Z</dcterms:created>
  <dcterms:modified xsi:type="dcterms:W3CDTF">2016-10-12T15:06:00Z</dcterms:modified>
</cp:coreProperties>
</file>